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825B1" w14:textId="71C07DFE" w:rsidR="00F82A53" w:rsidRPr="004B7E17" w:rsidRDefault="00F82A53" w:rsidP="00F82A53">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Pr>
          <w:rFonts w:ascii="Arial" w:hAnsi="Arial" w:cs="Arial"/>
          <w:b/>
          <w:noProof/>
          <w:sz w:val="24"/>
          <w:szCs w:val="24"/>
        </w:rPr>
        <w:t>#90</w:t>
      </w:r>
      <w:r w:rsidR="006A4A1A">
        <w:rPr>
          <w:rFonts w:ascii="Arial" w:hAnsi="Arial" w:cs="Arial"/>
          <w:b/>
          <w:noProof/>
          <w:sz w:val="24"/>
          <w:szCs w:val="24"/>
        </w:rPr>
        <w:t>-Bis</w:t>
      </w:r>
      <w:r w:rsidRPr="004B7E17">
        <w:rPr>
          <w:rFonts w:ascii="Arial" w:hAnsi="Arial" w:cs="Arial"/>
          <w:b/>
          <w:noProof/>
          <w:sz w:val="24"/>
          <w:szCs w:val="24"/>
        </w:rPr>
        <w:tab/>
      </w:r>
      <w:r>
        <w:rPr>
          <w:rFonts w:ascii="Arial" w:hAnsi="Arial" w:cs="Arial"/>
          <w:b/>
          <w:bCs/>
          <w:color w:val="808080"/>
          <w:sz w:val="26"/>
          <w:szCs w:val="26"/>
        </w:rPr>
        <w:t>R4-1</w:t>
      </w:r>
      <w:r w:rsidR="00A32E2A">
        <w:rPr>
          <w:rFonts w:ascii="Arial" w:hAnsi="Arial" w:cs="Arial"/>
          <w:b/>
          <w:bCs/>
          <w:color w:val="808080"/>
          <w:sz w:val="26"/>
          <w:szCs w:val="26"/>
        </w:rPr>
        <w:t>90</w:t>
      </w:r>
      <w:r w:rsidR="00A02659">
        <w:rPr>
          <w:rFonts w:ascii="Arial" w:hAnsi="Arial" w:cs="Arial"/>
          <w:b/>
          <w:bCs/>
          <w:color w:val="808080"/>
          <w:sz w:val="26"/>
          <w:szCs w:val="26"/>
        </w:rPr>
        <w:t>4333</w:t>
      </w:r>
    </w:p>
    <w:p w14:paraId="136AC2FB" w14:textId="5224D790" w:rsidR="00F82A53" w:rsidRDefault="006A4A1A" w:rsidP="00F82A53">
      <w:pPr>
        <w:pStyle w:val="Footer"/>
        <w:jc w:val="both"/>
        <w:rPr>
          <w:i w:val="0"/>
          <w:noProof w:val="0"/>
          <w:sz w:val="24"/>
          <w:szCs w:val="24"/>
          <w:lang w:eastAsia="ja-JP"/>
        </w:rPr>
      </w:pPr>
      <w:r>
        <w:rPr>
          <w:rFonts w:eastAsia="SimSun"/>
          <w:i w:val="0"/>
          <w:noProof w:val="0"/>
          <w:sz w:val="24"/>
          <w:szCs w:val="24"/>
        </w:rPr>
        <w:t>Xi’an</w:t>
      </w:r>
      <w:r w:rsidR="00F82A53">
        <w:rPr>
          <w:rFonts w:eastAsia="SimSun"/>
          <w:i w:val="0"/>
          <w:noProof w:val="0"/>
          <w:sz w:val="24"/>
          <w:szCs w:val="24"/>
        </w:rPr>
        <w:t xml:space="preserve">, </w:t>
      </w:r>
      <w:r>
        <w:rPr>
          <w:rFonts w:eastAsia="SimSun"/>
          <w:i w:val="0"/>
          <w:noProof w:val="0"/>
          <w:sz w:val="24"/>
          <w:szCs w:val="24"/>
        </w:rPr>
        <w:t>China</w:t>
      </w:r>
      <w:r w:rsidR="00F82A53">
        <w:rPr>
          <w:rFonts w:eastAsia="SimSun"/>
          <w:i w:val="0"/>
          <w:noProof w:val="0"/>
          <w:sz w:val="24"/>
          <w:szCs w:val="24"/>
        </w:rPr>
        <w:t xml:space="preserve">, </w:t>
      </w:r>
      <w:r>
        <w:rPr>
          <w:rFonts w:eastAsia="SimSun"/>
          <w:i w:val="0"/>
          <w:noProof w:val="0"/>
          <w:sz w:val="24"/>
          <w:szCs w:val="24"/>
        </w:rPr>
        <w:t>April 8</w:t>
      </w:r>
      <w:r w:rsidRPr="006A4A1A">
        <w:rPr>
          <w:rFonts w:eastAsia="SimSun"/>
          <w:i w:val="0"/>
          <w:noProof w:val="0"/>
          <w:sz w:val="24"/>
          <w:szCs w:val="24"/>
          <w:vertAlign w:val="superscript"/>
        </w:rPr>
        <w:t>th</w:t>
      </w:r>
      <w:r>
        <w:rPr>
          <w:rFonts w:eastAsia="SimSun"/>
          <w:i w:val="0"/>
          <w:noProof w:val="0"/>
          <w:sz w:val="24"/>
          <w:szCs w:val="24"/>
        </w:rPr>
        <w:t xml:space="preserve"> – 12</w:t>
      </w:r>
      <w:r w:rsidRPr="006A4A1A">
        <w:rPr>
          <w:rFonts w:eastAsia="SimSun"/>
          <w:i w:val="0"/>
          <w:noProof w:val="0"/>
          <w:sz w:val="24"/>
          <w:szCs w:val="24"/>
          <w:vertAlign w:val="superscript"/>
        </w:rPr>
        <w:t>th</w:t>
      </w:r>
      <w:r>
        <w:rPr>
          <w:rFonts w:eastAsia="SimSun"/>
          <w:i w:val="0"/>
          <w:noProof w:val="0"/>
          <w:sz w:val="24"/>
          <w:szCs w:val="24"/>
        </w:rPr>
        <w:t xml:space="preserve"> 2019</w:t>
      </w:r>
      <w:r w:rsidR="00F82A53">
        <w:rPr>
          <w:i w:val="0"/>
          <w:noProof w:val="0"/>
          <w:sz w:val="24"/>
          <w:szCs w:val="24"/>
          <w:lang w:eastAsia="ja-JP"/>
        </w:rPr>
        <w:t xml:space="preserve">  </w:t>
      </w:r>
      <w:r w:rsidR="00F82A53" w:rsidRPr="00654B98">
        <w:rPr>
          <w:i w:val="0"/>
          <w:noProof w:val="0"/>
          <w:sz w:val="24"/>
          <w:szCs w:val="24"/>
          <w:lang w:eastAsia="ja-JP"/>
        </w:rPr>
        <w:t xml:space="preserve"> </w:t>
      </w:r>
      <w:r w:rsidR="00F82A53">
        <w:rPr>
          <w:i w:val="0"/>
          <w:noProof w:val="0"/>
          <w:sz w:val="24"/>
          <w:szCs w:val="24"/>
          <w:lang w:eastAsia="ja-JP"/>
        </w:rPr>
        <w:t xml:space="preserve"> </w:t>
      </w:r>
    </w:p>
    <w:p w14:paraId="01C6DC32" w14:textId="77777777" w:rsidR="00F82A53" w:rsidRDefault="00F82A53" w:rsidP="00F82A53">
      <w:pPr>
        <w:pStyle w:val="Footer"/>
        <w:jc w:val="both"/>
        <w:rPr>
          <w:noProof w:val="0"/>
        </w:rPr>
      </w:pPr>
    </w:p>
    <w:p w14:paraId="44FA28CE" w14:textId="56EB9968" w:rsidR="00F82A53" w:rsidRPr="00A510C0" w:rsidRDefault="00F82A53" w:rsidP="00F82A53">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E75F69">
        <w:rPr>
          <w:rFonts w:ascii="Arial" w:eastAsia="SimSun" w:hAnsi="Arial"/>
          <w:b/>
          <w:sz w:val="24"/>
          <w:lang w:eastAsia="zh-CN"/>
        </w:rPr>
        <w:t xml:space="preserve">RRC based BWP </w:t>
      </w:r>
      <w:r w:rsidR="00A02659">
        <w:rPr>
          <w:rFonts w:ascii="Arial" w:eastAsia="SimSun" w:hAnsi="Arial"/>
          <w:b/>
          <w:sz w:val="24"/>
          <w:lang w:eastAsia="zh-CN"/>
        </w:rPr>
        <w:t>switch delay</w:t>
      </w:r>
      <w:r w:rsidR="00E75F69">
        <w:rPr>
          <w:rFonts w:ascii="Arial" w:eastAsia="SimSun" w:hAnsi="Arial"/>
          <w:b/>
          <w:sz w:val="24"/>
          <w:lang w:eastAsia="zh-CN"/>
        </w:rPr>
        <w:t xml:space="preserve"> </w:t>
      </w:r>
      <w:r>
        <w:rPr>
          <w:rFonts w:ascii="Arial" w:eastAsia="SimSun" w:hAnsi="Arial"/>
          <w:b/>
          <w:sz w:val="24"/>
          <w:lang w:eastAsia="zh-CN"/>
        </w:rPr>
        <w:t xml:space="preserve"> </w:t>
      </w:r>
    </w:p>
    <w:p w14:paraId="4BFC3AFB" w14:textId="77777777" w:rsidR="00F82A53" w:rsidRPr="00D372E9" w:rsidRDefault="00F82A53" w:rsidP="00F82A53">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66F9F5A" w14:textId="27F2E676" w:rsidR="00F82A53" w:rsidRPr="00D372E9" w:rsidRDefault="00F82A53" w:rsidP="00F82A53">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6A4A1A" w:rsidRPr="006A4A1A">
        <w:rPr>
          <w:rFonts w:ascii="Arial" w:hAnsi="Arial" w:cs="Arial"/>
          <w:b/>
          <w:color w:val="000000"/>
          <w:sz w:val="24"/>
          <w:szCs w:val="24"/>
        </w:rPr>
        <w:t>6.10.7.5.1</w:t>
      </w:r>
      <w:r w:rsidR="006A4A1A" w:rsidRPr="006A4A1A">
        <w:rPr>
          <w:rFonts w:ascii="Arial" w:hAnsi="Arial" w:cs="Arial"/>
          <w:b/>
          <w:color w:val="000000"/>
          <w:sz w:val="24"/>
          <w:szCs w:val="24"/>
        </w:rPr>
        <w:tab/>
        <w:t>RRC based BWP switching delay (38.133)</w:t>
      </w:r>
      <w:r w:rsidR="00E75F69" w:rsidRPr="00E75F69">
        <w:rPr>
          <w:rFonts w:ascii="Arial" w:hAnsi="Arial" w:cs="Arial"/>
          <w:b/>
          <w:color w:val="000000"/>
          <w:sz w:val="24"/>
          <w:szCs w:val="24"/>
        </w:rPr>
        <w:t xml:space="preserve"> </w:t>
      </w:r>
      <w:r w:rsidRPr="00802049">
        <w:rPr>
          <w:rFonts w:ascii="Arial" w:hAnsi="Arial" w:cs="Arial"/>
          <w:b/>
          <w:color w:val="000000"/>
          <w:sz w:val="24"/>
          <w:szCs w:val="24"/>
        </w:rPr>
        <w:t>[NR_newRAT-Core]</w:t>
      </w:r>
    </w:p>
    <w:p w14:paraId="23411651" w14:textId="77777777" w:rsidR="00F82A53" w:rsidRPr="00E15948" w:rsidRDefault="00F82A53" w:rsidP="00F82A53">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764CDBD" w14:textId="77777777" w:rsidR="007377BF" w:rsidRDefault="00746BD7">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735722F1" w14:textId="1E2AA01D" w:rsidR="00F255F1" w:rsidRDefault="00F255F1" w:rsidP="00F255F1">
      <w:r>
        <w:t xml:space="preserve">In </w:t>
      </w:r>
      <w:r w:rsidR="00CC3955">
        <w:t xml:space="preserve">this contribution, </w:t>
      </w:r>
      <w:r w:rsidR="00E75F69">
        <w:t xml:space="preserve">we provide timeline for RRC based BWP switching. In RAN4#90, the WF [1] agreed on the following </w:t>
      </w:r>
    </w:p>
    <w:p w14:paraId="572A059E" w14:textId="37C6FE91" w:rsidR="00E75F69" w:rsidRDefault="00E75F69" w:rsidP="00F255F1"/>
    <w:p w14:paraId="2724DC83" w14:textId="41118F8A" w:rsidR="00E75F69" w:rsidRPr="00E75F69" w:rsidRDefault="00692137" w:rsidP="00E75F69">
      <w:pPr>
        <w:numPr>
          <w:ilvl w:val="0"/>
          <w:numId w:val="14"/>
        </w:numPr>
      </w:pPr>
      <w:r w:rsidRPr="00E75F69">
        <w:t>Total RRC-based BWP switch delay from slot n which is the last slot containing RRC reconfiguration command to the slot n+TBD where UE can send RRC reconfiguration complet</w:t>
      </w:r>
      <w:r w:rsidR="00E75F69">
        <w:t>e</w:t>
      </w:r>
    </w:p>
    <w:p w14:paraId="4C2C6541" w14:textId="77777777" w:rsidR="008C2086" w:rsidRPr="00E75F69" w:rsidRDefault="00692137" w:rsidP="00E75F69">
      <w:pPr>
        <w:numPr>
          <w:ilvl w:val="0"/>
          <w:numId w:val="15"/>
        </w:numPr>
      </w:pPr>
      <w:r w:rsidRPr="00E75F69">
        <w:t xml:space="preserve">Total BWP switch delay </w:t>
      </w:r>
      <w:r w:rsidRPr="00E75F69">
        <w:rPr>
          <w:lang w:val="fi-FI"/>
        </w:rPr>
        <w:t xml:space="preserve">equals </w:t>
      </w:r>
      <w:r w:rsidRPr="00E75F69">
        <w:t>T</w:t>
      </w:r>
      <w:r w:rsidRPr="00E75F69">
        <w:rPr>
          <w:vertAlign w:val="subscript"/>
        </w:rPr>
        <w:t>RRC_delay</w:t>
      </w:r>
      <w:r w:rsidRPr="00E75F69">
        <w:t xml:space="preserve"> + T</w:t>
      </w:r>
      <w:r w:rsidRPr="00E75F69">
        <w:rPr>
          <w:vertAlign w:val="subscript"/>
        </w:rPr>
        <w:t>BWPswitchDelayRRC</w:t>
      </w:r>
    </w:p>
    <w:p w14:paraId="5E355C62" w14:textId="77777777" w:rsidR="008C2086" w:rsidRPr="00E75F69" w:rsidRDefault="00692137" w:rsidP="00E75F69">
      <w:pPr>
        <w:numPr>
          <w:ilvl w:val="1"/>
          <w:numId w:val="15"/>
        </w:numPr>
      </w:pPr>
      <w:r w:rsidRPr="00E75F69">
        <w:t>RRC processing delay T</w:t>
      </w:r>
      <w:r w:rsidRPr="00E75F69">
        <w:rPr>
          <w:vertAlign w:val="subscript"/>
        </w:rPr>
        <w:t>RRC_delay</w:t>
      </w:r>
      <w:r w:rsidRPr="00E75F69">
        <w:t xml:space="preserve"> will be defined by RAN2.</w:t>
      </w:r>
    </w:p>
    <w:p w14:paraId="4025F969" w14:textId="77777777" w:rsidR="008C2086" w:rsidRPr="00E75F69" w:rsidRDefault="00692137" w:rsidP="00E75F69">
      <w:pPr>
        <w:numPr>
          <w:ilvl w:val="1"/>
          <w:numId w:val="15"/>
        </w:numPr>
      </w:pPr>
      <w:r w:rsidRPr="00E75F69">
        <w:t>BWP switch delay T</w:t>
      </w:r>
      <w:r w:rsidRPr="00E75F69">
        <w:rPr>
          <w:vertAlign w:val="subscript"/>
        </w:rPr>
        <w:t xml:space="preserve">BWPswitchDelayRRC </w:t>
      </w:r>
      <w:r w:rsidRPr="00E75F69">
        <w:t>will be defined by RAN4. See next slide.</w:t>
      </w:r>
    </w:p>
    <w:p w14:paraId="0BDE1ADF" w14:textId="60729525" w:rsidR="008C2086" w:rsidRDefault="00692137" w:rsidP="00E75F69">
      <w:pPr>
        <w:numPr>
          <w:ilvl w:val="0"/>
          <w:numId w:val="15"/>
        </w:numPr>
      </w:pPr>
      <w:r w:rsidRPr="00E75F69">
        <w:t xml:space="preserve">The UL grant uncertainty for transmitting </w:t>
      </w:r>
      <w:r w:rsidRPr="00E75F69">
        <w:rPr>
          <w:i/>
          <w:iCs/>
        </w:rPr>
        <w:t xml:space="preserve">RRCReconfigurationComplete due to TA and TA_offset </w:t>
      </w:r>
      <w:r w:rsidRPr="00E75F69">
        <w:t>during RRC based BWP switching is FFS</w:t>
      </w:r>
    </w:p>
    <w:p w14:paraId="26D0915F" w14:textId="632BE01B" w:rsidR="00E75F69" w:rsidRDefault="00E75F69" w:rsidP="00E75F69">
      <w:r>
        <w:t xml:space="preserve">In addition, we agreed to consider the following cases </w:t>
      </w:r>
    </w:p>
    <w:p w14:paraId="1FB9C81C" w14:textId="77777777" w:rsidR="00E75F69" w:rsidRPr="00E75F69" w:rsidRDefault="00E75F69" w:rsidP="00E75F69">
      <w:r w:rsidRPr="00E75F69">
        <w:rPr>
          <w:u w:val="single"/>
        </w:rPr>
        <w:t xml:space="preserve">Case 1: </w:t>
      </w:r>
      <w:r w:rsidRPr="00E75F69">
        <w:t>BWP switch to another existing BWP configuration</w:t>
      </w:r>
    </w:p>
    <w:p w14:paraId="353E8A47" w14:textId="77777777" w:rsidR="008C2086" w:rsidRPr="00E75F69" w:rsidRDefault="00692137" w:rsidP="00E75F69">
      <w:pPr>
        <w:numPr>
          <w:ilvl w:val="2"/>
          <w:numId w:val="16"/>
        </w:numPr>
      </w:pPr>
      <w:r w:rsidRPr="00E75F69">
        <w:t>No change to any of the existing configured BWPs</w:t>
      </w:r>
    </w:p>
    <w:p w14:paraId="3B4B90CC" w14:textId="77777777" w:rsidR="00E75F69" w:rsidRPr="00E75F69" w:rsidRDefault="00E75F69" w:rsidP="00E75F69">
      <w:r w:rsidRPr="00E75F69">
        <w:rPr>
          <w:u w:val="single"/>
        </w:rPr>
        <w:t xml:space="preserve">Case 2: </w:t>
      </w:r>
      <w:r w:rsidRPr="00E75F69">
        <w:t xml:space="preserve">BWP switch to a new BWP configured by the same RRC re-configuration signaling  </w:t>
      </w:r>
    </w:p>
    <w:p w14:paraId="5CFEB521" w14:textId="77777777" w:rsidR="008C2086" w:rsidRPr="00E75F69" w:rsidRDefault="00692137" w:rsidP="00E75F69">
      <w:pPr>
        <w:numPr>
          <w:ilvl w:val="2"/>
          <w:numId w:val="17"/>
        </w:numPr>
      </w:pPr>
      <w:r w:rsidRPr="00E75F69">
        <w:t>New BWP configurations are added and activated with different parameters to current active BWP through RRC reconfiguration</w:t>
      </w:r>
    </w:p>
    <w:p w14:paraId="2F9B6FA1" w14:textId="4AC4D08E" w:rsidR="00E75F69" w:rsidRDefault="00E75F69" w:rsidP="00E75F69"/>
    <w:p w14:paraId="7B81B3BF" w14:textId="659DCBFB" w:rsidR="00E75F69" w:rsidRDefault="00E75F69" w:rsidP="00E75F69">
      <w:r>
        <w:t xml:space="preserve">Also, RAN2 has agreed </w:t>
      </w:r>
      <w:r w:rsidRPr="00E75F69">
        <w:t>T</w:t>
      </w:r>
      <w:r w:rsidRPr="00E75F69">
        <w:rPr>
          <w:vertAlign w:val="subscript"/>
        </w:rPr>
        <w:t>RRC_delay</w:t>
      </w:r>
      <w:r w:rsidRPr="00E75F69">
        <w:t xml:space="preserve"> </w:t>
      </w:r>
      <w:r>
        <w:t xml:space="preserve">to be 10ms. </w:t>
      </w:r>
    </w:p>
    <w:p w14:paraId="4C3606AC" w14:textId="76264680" w:rsidR="00E75F69" w:rsidRDefault="00E75F69" w:rsidP="00E75F69">
      <w:r>
        <w:t>In this contribution, we provide out input on UE timelines (</w:t>
      </w:r>
      <w:r w:rsidRPr="00E75F69">
        <w:t>T</w:t>
      </w:r>
      <w:r w:rsidRPr="00E75F69">
        <w:rPr>
          <w:vertAlign w:val="subscript"/>
        </w:rPr>
        <w:t>BWPswitchDelayRRC</w:t>
      </w:r>
      <w:r w:rsidRPr="00E75F69">
        <w:t>)</w:t>
      </w:r>
      <w:r>
        <w:t xml:space="preserve"> for the above-mentioned cases. </w:t>
      </w:r>
    </w:p>
    <w:p w14:paraId="4059D4F4" w14:textId="01285513" w:rsidR="00E75F69" w:rsidRDefault="005F31F1" w:rsidP="00E75F69">
      <w:r>
        <w:t xml:space="preserve">In addition, in RAN4#90, the following was agreement was captured in chair’s notes, </w:t>
      </w:r>
    </w:p>
    <w:p w14:paraId="6820D964" w14:textId="64893EF6" w:rsidR="00E75F69" w:rsidRDefault="005F31F1" w:rsidP="00F255F1">
      <w:pPr>
        <w:rPr>
          <w:lang w:eastAsia="zh-CN"/>
        </w:rPr>
      </w:pPr>
      <w:r w:rsidRPr="005F31F1">
        <w:rPr>
          <w:rFonts w:hint="eastAsia"/>
          <w:lang w:eastAsia="zh-CN"/>
        </w:rPr>
        <w:lastRenderedPageBreak/>
        <w:t>Agreement: Do not s</w:t>
      </w:r>
      <w:r w:rsidRPr="005F31F1">
        <w:rPr>
          <w:lang w:eastAsia="zh-CN"/>
        </w:rPr>
        <w:t>pecify 2 different RRC-based BWP switch delays for Case 1 and Case 2, depending on whether new BWP configurations are added</w:t>
      </w:r>
      <w:r w:rsidRPr="005F31F1">
        <w:rPr>
          <w:i/>
          <w:iCs/>
          <w:lang w:eastAsia="zh-CN"/>
        </w:rPr>
        <w:t>.</w:t>
      </w:r>
    </w:p>
    <w:p w14:paraId="70E47E58" w14:textId="77777777" w:rsidR="00E15948" w:rsidRDefault="00A40B5A" w:rsidP="00BF71E1">
      <w:pPr>
        <w:pStyle w:val="Heading1"/>
      </w:pPr>
      <w:r>
        <w:t>Discussion</w:t>
      </w:r>
    </w:p>
    <w:p w14:paraId="08CFED7C" w14:textId="075AE268" w:rsidR="00486FD2" w:rsidRDefault="007B63CB" w:rsidP="00486FD2">
      <w:pPr>
        <w:pStyle w:val="Heading2"/>
      </w:pPr>
      <w:r>
        <w:t>BWP Switch Delay</w:t>
      </w:r>
    </w:p>
    <w:p w14:paraId="0EE439C7" w14:textId="00416200" w:rsidR="007B63CB" w:rsidRDefault="005F31F1" w:rsidP="0078482A">
      <w:r>
        <w:t xml:space="preserve">In terms of processing times at the UE, case 2 will obviously be longer than case 1, since case 1 can be considered a subset of case 2. Since RAN4 has agreed to specify only one set of requirements for both cases, we only need to consider the </w:t>
      </w:r>
      <w:r w:rsidR="006568C0">
        <w:t xml:space="preserve">case 2, where new BWP configurations are being added. </w:t>
      </w:r>
    </w:p>
    <w:p w14:paraId="0E6DACDE" w14:textId="67594C6D" w:rsidR="00422BDB" w:rsidRDefault="00422BDB" w:rsidP="0078482A">
      <w:r>
        <w:t>For th</w:t>
      </w:r>
      <w:r w:rsidR="006568C0">
        <w:t>is</w:t>
      </w:r>
      <w:r>
        <w:t xml:space="preserve"> case where the UE can be provided with up to 4 new BWP’s, the processing time for such a message would be of the same order as that for Handover or PScell addition</w:t>
      </w:r>
      <w:r w:rsidR="008D4FE9">
        <w:t xml:space="preserve"> as this could involve complete re-programming of baseband and RF.</w:t>
      </w:r>
    </w:p>
    <w:p w14:paraId="67D5D4CD" w14:textId="22AC4925" w:rsidR="007B63CB" w:rsidRDefault="007B63CB" w:rsidP="0078482A">
      <w:r>
        <w:t xml:space="preserve">It is also our opinion that we should keep the specification simple and not have different versions of this delay for UE’s that support faster or slower DCI based BWP switching or don’t support DCI based switching at all. That will make the specification needlessly complicated without providing any, or minimal, benefit to the network. </w:t>
      </w:r>
    </w:p>
    <w:p w14:paraId="555448D3" w14:textId="4AB2CB4B" w:rsidR="00C756A6" w:rsidRDefault="00422BDB" w:rsidP="0078482A">
      <w:r w:rsidRPr="008D4FE9">
        <w:rPr>
          <w:b/>
        </w:rPr>
        <w:t>Proposal 2</w:t>
      </w:r>
      <w:r>
        <w:t xml:space="preserve">: </w:t>
      </w:r>
      <w:r w:rsidR="00A1241F" w:rsidRPr="00E75F69">
        <w:t>T</w:t>
      </w:r>
      <w:r w:rsidR="00A1241F" w:rsidRPr="00E75F69">
        <w:rPr>
          <w:vertAlign w:val="subscript"/>
        </w:rPr>
        <w:t>BWPswitchDelayRRC</w:t>
      </w:r>
      <w:r w:rsidR="00A1241F">
        <w:rPr>
          <w:vertAlign w:val="subscript"/>
        </w:rPr>
        <w:t xml:space="preserve"> </w:t>
      </w:r>
      <w:r w:rsidR="00A1241F">
        <w:t>should</w:t>
      </w:r>
      <w:r w:rsidR="008D4FE9">
        <w:t xml:space="preserve"> be 10ms for all cases of RRC based BWP switching. </w:t>
      </w:r>
    </w:p>
    <w:p w14:paraId="1E7BFBE8" w14:textId="2D66A1A7" w:rsidR="008D4FE9" w:rsidRDefault="008D4FE9" w:rsidP="0078482A">
      <w:r>
        <w:t xml:space="preserve">Note that the above assumes that the UE does not need to set its AGC when switching from one BWP to another. This may not be the case when the channel BW’s in which BWP’s lie are non-contiguous. The AGC would need at least 1 </w:t>
      </w:r>
      <w:r w:rsidR="00A1241F">
        <w:t>SSB as</w:t>
      </w:r>
      <w:r>
        <w:t xml:space="preserve"> reference signal. </w:t>
      </w:r>
    </w:p>
    <w:p w14:paraId="26172EFA" w14:textId="1F4B5C5C" w:rsidR="00366C78" w:rsidRDefault="008D4FE9" w:rsidP="0078482A">
      <w:r w:rsidRPr="008D4FE9">
        <w:rPr>
          <w:b/>
        </w:rPr>
        <w:t>Proposal 3</w:t>
      </w:r>
      <w:r>
        <w:t xml:space="preserve">: AGC settling time needs to be considered when switching BWP’s in non-contiguous channel BW’s.   AGC settling time shall be 1 SMTC. </w:t>
      </w:r>
    </w:p>
    <w:p w14:paraId="798A1DFF" w14:textId="214A700B" w:rsidR="00E75F69" w:rsidRPr="007B63CB" w:rsidRDefault="007B63CB" w:rsidP="007B63CB">
      <w:pPr>
        <w:pStyle w:val="Heading2"/>
      </w:pPr>
      <w:r>
        <w:t>Channel BW Switch</w:t>
      </w:r>
    </w:p>
    <w:p w14:paraId="085FBDD9" w14:textId="5FEE560A" w:rsidR="007B63CB" w:rsidRDefault="007B63CB" w:rsidP="0078482A">
      <w:r>
        <w:t xml:space="preserve">Recently, RAN plenary has agreed to make channel BW </w:t>
      </w:r>
      <w:r w:rsidR="00284AAB">
        <w:t xml:space="preserve">UE specific rather than cell specific. This means that the gNodeB can switch UE channel BW via RRC procedure. From UE and procedural standpoint, this will be similar to RRC based BWP switch. Hence, the timeline for channel BW switch should look be similar. </w:t>
      </w:r>
    </w:p>
    <w:p w14:paraId="238D5106" w14:textId="13056B29" w:rsidR="00284AAB" w:rsidRDefault="00284AAB" w:rsidP="0078482A">
      <w:r w:rsidRPr="0012521B">
        <w:rPr>
          <w:b/>
        </w:rPr>
        <w:t>Proposal 4</w:t>
      </w:r>
      <w:r>
        <w:t xml:space="preserve">: </w:t>
      </w:r>
      <w:r w:rsidR="0012521B">
        <w:t>Requirement for UE channel BW switching should be specified. The delay will consist of RRC Delay (RAN2) + Channel BW Switching Delay (RAN4)</w:t>
      </w:r>
    </w:p>
    <w:p w14:paraId="51ECAFF4" w14:textId="774C3150" w:rsidR="0012521B" w:rsidRPr="007B63CB" w:rsidRDefault="0012521B" w:rsidP="0078482A">
      <w:r w:rsidRPr="0012521B">
        <w:rPr>
          <w:b/>
        </w:rPr>
        <w:t>Proposal 4a</w:t>
      </w:r>
      <w:r>
        <w:t>: RAN4 to specify channel BW switching delay.</w:t>
      </w:r>
    </w:p>
    <w:p w14:paraId="0BDC7F1E" w14:textId="77777777" w:rsidR="006C4B0B" w:rsidRDefault="006C4B0B" w:rsidP="006C4B0B">
      <w:pPr>
        <w:pStyle w:val="Heading1"/>
      </w:pPr>
      <w:r>
        <w:t>Conclusions</w:t>
      </w:r>
    </w:p>
    <w:p w14:paraId="624C11E2" w14:textId="77777777" w:rsidR="008D4FE9" w:rsidRDefault="008D4FE9" w:rsidP="008D4FE9">
      <w:r w:rsidRPr="00366C78">
        <w:rPr>
          <w:b/>
        </w:rPr>
        <w:t>Proposal 1</w:t>
      </w:r>
      <w:r>
        <w:t xml:space="preserve">: RAN4 to only define one set of requirements for RRC based BWP switching.  </w:t>
      </w:r>
    </w:p>
    <w:p w14:paraId="71405036" w14:textId="144DE2EF" w:rsidR="008D4FE9" w:rsidRDefault="008D4FE9" w:rsidP="008D4FE9">
      <w:r w:rsidRPr="008D4FE9">
        <w:rPr>
          <w:b/>
        </w:rPr>
        <w:t>Proposal 2</w:t>
      </w:r>
      <w:r>
        <w:t xml:space="preserve">: </w:t>
      </w:r>
      <w:r w:rsidR="00A1241F" w:rsidRPr="00E75F69">
        <w:t>T</w:t>
      </w:r>
      <w:r w:rsidR="00A1241F" w:rsidRPr="00E75F69">
        <w:rPr>
          <w:vertAlign w:val="subscript"/>
        </w:rPr>
        <w:t>BWPswitchDelayRRC</w:t>
      </w:r>
      <w:r w:rsidR="00A1241F">
        <w:rPr>
          <w:vertAlign w:val="subscript"/>
        </w:rPr>
        <w:t xml:space="preserve"> </w:t>
      </w:r>
      <w:r w:rsidR="00A1241F">
        <w:t>should</w:t>
      </w:r>
      <w:r>
        <w:t xml:space="preserve"> be 10ms for all cases of RRC based BWP switching. </w:t>
      </w:r>
    </w:p>
    <w:p w14:paraId="25310A1E" w14:textId="77777777" w:rsidR="008D4FE9" w:rsidRDefault="008D4FE9" w:rsidP="008D4FE9">
      <w:r w:rsidRPr="008D4FE9">
        <w:rPr>
          <w:b/>
        </w:rPr>
        <w:lastRenderedPageBreak/>
        <w:t>Proposal 3</w:t>
      </w:r>
      <w:r>
        <w:t xml:space="preserve">: AGC settling time needs to be considered when switching BWP’s in non-contiguous channel BW’s.   AGC settling time shall be 1 SMTC. </w:t>
      </w:r>
    </w:p>
    <w:p w14:paraId="2CB528B8" w14:textId="77777777" w:rsidR="0012521B" w:rsidRDefault="0012521B" w:rsidP="0012521B">
      <w:r w:rsidRPr="0012521B">
        <w:rPr>
          <w:b/>
        </w:rPr>
        <w:t>Proposal 4</w:t>
      </w:r>
      <w:r>
        <w:t>: Requirement for UE channel BW switching should be specified. The delay will consist of RRC Delay (RAN2) + Channel BW Switching Delay (RAN4)</w:t>
      </w:r>
    </w:p>
    <w:p w14:paraId="3CE7D2F7" w14:textId="77777777" w:rsidR="0012521B" w:rsidRPr="007B63CB" w:rsidRDefault="0012521B" w:rsidP="0012521B">
      <w:r w:rsidRPr="0012521B">
        <w:rPr>
          <w:b/>
        </w:rPr>
        <w:t>Proposal 4a</w:t>
      </w:r>
      <w:r>
        <w:t>: RAN4 to specify channel BW switching delay.</w:t>
      </w:r>
    </w:p>
    <w:p w14:paraId="5E9775F6" w14:textId="73954790" w:rsidR="00F2735D" w:rsidRDefault="00F2735D" w:rsidP="003201D5">
      <w:pPr>
        <w:rPr>
          <w:rFonts w:cstheme="minorHAnsi"/>
        </w:rPr>
      </w:pPr>
    </w:p>
    <w:p w14:paraId="40E7606A" w14:textId="15E19017" w:rsidR="00F2735D" w:rsidRDefault="00F2735D" w:rsidP="00F2735D">
      <w:pPr>
        <w:pStyle w:val="Heading1"/>
      </w:pPr>
      <w:r>
        <w:t xml:space="preserve">References </w:t>
      </w:r>
    </w:p>
    <w:p w14:paraId="1FCED613" w14:textId="5D81C356" w:rsidR="00F2735D" w:rsidRPr="00077458" w:rsidRDefault="00F2735D" w:rsidP="003201D5">
      <w:pPr>
        <w:rPr>
          <w:rFonts w:cstheme="minorHAnsi"/>
        </w:rPr>
      </w:pPr>
      <w:r>
        <w:rPr>
          <w:rFonts w:cstheme="minorHAnsi"/>
        </w:rPr>
        <w:t>[1]</w:t>
      </w:r>
      <w:bookmarkStart w:id="0" w:name="_GoBack"/>
      <w:bookmarkEnd w:id="0"/>
      <w:r>
        <w:rPr>
          <w:rFonts w:cstheme="minorHAnsi"/>
        </w:rPr>
        <w:t xml:space="preserve"> </w:t>
      </w:r>
      <w:r w:rsidR="00E75F69" w:rsidRPr="00E75F69">
        <w:rPr>
          <w:rFonts w:cstheme="minorHAnsi"/>
        </w:rPr>
        <w:t>R4-1816689</w:t>
      </w:r>
      <w:r w:rsidRPr="00F2735D">
        <w:rPr>
          <w:rFonts w:cstheme="minorHAnsi"/>
        </w:rPr>
        <w:t xml:space="preserve">, </w:t>
      </w:r>
      <w:r w:rsidR="00E75F69" w:rsidRPr="00E75F69">
        <w:rPr>
          <w:rFonts w:cstheme="minorHAnsi"/>
          <w:lang w:val="en-GB"/>
        </w:rPr>
        <w:t>WF on RRC and MAC based BWP switching</w:t>
      </w:r>
    </w:p>
    <w:sectPr w:rsidR="00F2735D" w:rsidRPr="00077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A198C" w14:textId="77777777" w:rsidR="00746BD7" w:rsidRDefault="00746BD7" w:rsidP="009B2E5E">
      <w:pPr>
        <w:spacing w:after="0" w:line="240" w:lineRule="auto"/>
      </w:pPr>
      <w:r>
        <w:separator/>
      </w:r>
    </w:p>
  </w:endnote>
  <w:endnote w:type="continuationSeparator" w:id="0">
    <w:p w14:paraId="7781B892" w14:textId="77777777" w:rsidR="00746BD7" w:rsidRDefault="00746BD7" w:rsidP="009B2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FFB3" w14:textId="77777777" w:rsidR="00746BD7" w:rsidRDefault="00746BD7" w:rsidP="009B2E5E">
      <w:pPr>
        <w:spacing w:after="0" w:line="240" w:lineRule="auto"/>
      </w:pPr>
      <w:r>
        <w:separator/>
      </w:r>
    </w:p>
  </w:footnote>
  <w:footnote w:type="continuationSeparator" w:id="0">
    <w:p w14:paraId="3F8427C5" w14:textId="77777777" w:rsidR="00746BD7" w:rsidRDefault="00746BD7" w:rsidP="009B2E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F53F1"/>
    <w:multiLevelType w:val="hybridMultilevel"/>
    <w:tmpl w:val="34027870"/>
    <w:lvl w:ilvl="0" w:tplc="CA70E1DC">
      <w:start w:val="1"/>
      <w:numFmt w:val="bullet"/>
      <w:lvlText w:val="•"/>
      <w:lvlJc w:val="left"/>
      <w:pPr>
        <w:tabs>
          <w:tab w:val="num" w:pos="720"/>
        </w:tabs>
        <w:ind w:left="720" w:hanging="360"/>
      </w:pPr>
      <w:rPr>
        <w:rFonts w:ascii="Arial" w:hAnsi="Arial" w:hint="default"/>
      </w:rPr>
    </w:lvl>
    <w:lvl w:ilvl="1" w:tplc="306602FE">
      <w:start w:val="117"/>
      <w:numFmt w:val="bullet"/>
      <w:lvlText w:val="–"/>
      <w:lvlJc w:val="left"/>
      <w:pPr>
        <w:tabs>
          <w:tab w:val="num" w:pos="1440"/>
        </w:tabs>
        <w:ind w:left="1440" w:hanging="360"/>
      </w:pPr>
      <w:rPr>
        <w:rFonts w:ascii="Arial" w:hAnsi="Arial" w:hint="default"/>
      </w:rPr>
    </w:lvl>
    <w:lvl w:ilvl="2" w:tplc="3FEE0726" w:tentative="1">
      <w:start w:val="1"/>
      <w:numFmt w:val="bullet"/>
      <w:lvlText w:val="•"/>
      <w:lvlJc w:val="left"/>
      <w:pPr>
        <w:tabs>
          <w:tab w:val="num" w:pos="2160"/>
        </w:tabs>
        <w:ind w:left="2160" w:hanging="360"/>
      </w:pPr>
      <w:rPr>
        <w:rFonts w:ascii="Arial" w:hAnsi="Arial" w:hint="default"/>
      </w:rPr>
    </w:lvl>
    <w:lvl w:ilvl="3" w:tplc="AC18C0A2" w:tentative="1">
      <w:start w:val="1"/>
      <w:numFmt w:val="bullet"/>
      <w:lvlText w:val="•"/>
      <w:lvlJc w:val="left"/>
      <w:pPr>
        <w:tabs>
          <w:tab w:val="num" w:pos="2880"/>
        </w:tabs>
        <w:ind w:left="2880" w:hanging="360"/>
      </w:pPr>
      <w:rPr>
        <w:rFonts w:ascii="Arial" w:hAnsi="Arial" w:hint="default"/>
      </w:rPr>
    </w:lvl>
    <w:lvl w:ilvl="4" w:tplc="A59E12C4" w:tentative="1">
      <w:start w:val="1"/>
      <w:numFmt w:val="bullet"/>
      <w:lvlText w:val="•"/>
      <w:lvlJc w:val="left"/>
      <w:pPr>
        <w:tabs>
          <w:tab w:val="num" w:pos="3600"/>
        </w:tabs>
        <w:ind w:left="3600" w:hanging="360"/>
      </w:pPr>
      <w:rPr>
        <w:rFonts w:ascii="Arial" w:hAnsi="Arial" w:hint="default"/>
      </w:rPr>
    </w:lvl>
    <w:lvl w:ilvl="5" w:tplc="40209D28" w:tentative="1">
      <w:start w:val="1"/>
      <w:numFmt w:val="bullet"/>
      <w:lvlText w:val="•"/>
      <w:lvlJc w:val="left"/>
      <w:pPr>
        <w:tabs>
          <w:tab w:val="num" w:pos="4320"/>
        </w:tabs>
        <w:ind w:left="4320" w:hanging="360"/>
      </w:pPr>
      <w:rPr>
        <w:rFonts w:ascii="Arial" w:hAnsi="Arial" w:hint="default"/>
      </w:rPr>
    </w:lvl>
    <w:lvl w:ilvl="6" w:tplc="7910ED2C" w:tentative="1">
      <w:start w:val="1"/>
      <w:numFmt w:val="bullet"/>
      <w:lvlText w:val="•"/>
      <w:lvlJc w:val="left"/>
      <w:pPr>
        <w:tabs>
          <w:tab w:val="num" w:pos="5040"/>
        </w:tabs>
        <w:ind w:left="5040" w:hanging="360"/>
      </w:pPr>
      <w:rPr>
        <w:rFonts w:ascii="Arial" w:hAnsi="Arial" w:hint="default"/>
      </w:rPr>
    </w:lvl>
    <w:lvl w:ilvl="7" w:tplc="6E90231C" w:tentative="1">
      <w:start w:val="1"/>
      <w:numFmt w:val="bullet"/>
      <w:lvlText w:val="•"/>
      <w:lvlJc w:val="left"/>
      <w:pPr>
        <w:tabs>
          <w:tab w:val="num" w:pos="5760"/>
        </w:tabs>
        <w:ind w:left="5760" w:hanging="360"/>
      </w:pPr>
      <w:rPr>
        <w:rFonts w:ascii="Arial" w:hAnsi="Arial" w:hint="default"/>
      </w:rPr>
    </w:lvl>
    <w:lvl w:ilvl="8" w:tplc="483211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B6A24"/>
    <w:multiLevelType w:val="hybridMultilevel"/>
    <w:tmpl w:val="5FF6EE6A"/>
    <w:lvl w:ilvl="0" w:tplc="16E2604C">
      <w:start w:val="1"/>
      <w:numFmt w:val="bullet"/>
      <w:lvlText w:val="•"/>
      <w:lvlJc w:val="left"/>
      <w:pPr>
        <w:tabs>
          <w:tab w:val="num" w:pos="720"/>
        </w:tabs>
        <w:ind w:left="720" w:hanging="360"/>
      </w:pPr>
      <w:rPr>
        <w:rFonts w:ascii="Arial" w:hAnsi="Arial" w:hint="default"/>
      </w:rPr>
    </w:lvl>
    <w:lvl w:ilvl="1" w:tplc="C23ACF0C" w:tentative="1">
      <w:start w:val="1"/>
      <w:numFmt w:val="bullet"/>
      <w:lvlText w:val="•"/>
      <w:lvlJc w:val="left"/>
      <w:pPr>
        <w:tabs>
          <w:tab w:val="num" w:pos="1440"/>
        </w:tabs>
        <w:ind w:left="1440" w:hanging="360"/>
      </w:pPr>
      <w:rPr>
        <w:rFonts w:ascii="Arial" w:hAnsi="Arial" w:hint="default"/>
      </w:rPr>
    </w:lvl>
    <w:lvl w:ilvl="2" w:tplc="AE7C3A16" w:tentative="1">
      <w:start w:val="1"/>
      <w:numFmt w:val="bullet"/>
      <w:lvlText w:val="•"/>
      <w:lvlJc w:val="left"/>
      <w:pPr>
        <w:tabs>
          <w:tab w:val="num" w:pos="2160"/>
        </w:tabs>
        <w:ind w:left="2160" w:hanging="360"/>
      </w:pPr>
      <w:rPr>
        <w:rFonts w:ascii="Arial" w:hAnsi="Arial" w:hint="default"/>
      </w:rPr>
    </w:lvl>
    <w:lvl w:ilvl="3" w:tplc="D2800736" w:tentative="1">
      <w:start w:val="1"/>
      <w:numFmt w:val="bullet"/>
      <w:lvlText w:val="•"/>
      <w:lvlJc w:val="left"/>
      <w:pPr>
        <w:tabs>
          <w:tab w:val="num" w:pos="2880"/>
        </w:tabs>
        <w:ind w:left="2880" w:hanging="360"/>
      </w:pPr>
      <w:rPr>
        <w:rFonts w:ascii="Arial" w:hAnsi="Arial" w:hint="default"/>
      </w:rPr>
    </w:lvl>
    <w:lvl w:ilvl="4" w:tplc="24F8938A" w:tentative="1">
      <w:start w:val="1"/>
      <w:numFmt w:val="bullet"/>
      <w:lvlText w:val="•"/>
      <w:lvlJc w:val="left"/>
      <w:pPr>
        <w:tabs>
          <w:tab w:val="num" w:pos="3600"/>
        </w:tabs>
        <w:ind w:left="3600" w:hanging="360"/>
      </w:pPr>
      <w:rPr>
        <w:rFonts w:ascii="Arial" w:hAnsi="Arial" w:hint="default"/>
      </w:rPr>
    </w:lvl>
    <w:lvl w:ilvl="5" w:tplc="C38C8B60" w:tentative="1">
      <w:start w:val="1"/>
      <w:numFmt w:val="bullet"/>
      <w:lvlText w:val="•"/>
      <w:lvlJc w:val="left"/>
      <w:pPr>
        <w:tabs>
          <w:tab w:val="num" w:pos="4320"/>
        </w:tabs>
        <w:ind w:left="4320" w:hanging="360"/>
      </w:pPr>
      <w:rPr>
        <w:rFonts w:ascii="Arial" w:hAnsi="Arial" w:hint="default"/>
      </w:rPr>
    </w:lvl>
    <w:lvl w:ilvl="6" w:tplc="877E8D46" w:tentative="1">
      <w:start w:val="1"/>
      <w:numFmt w:val="bullet"/>
      <w:lvlText w:val="•"/>
      <w:lvlJc w:val="left"/>
      <w:pPr>
        <w:tabs>
          <w:tab w:val="num" w:pos="5040"/>
        </w:tabs>
        <w:ind w:left="5040" w:hanging="360"/>
      </w:pPr>
      <w:rPr>
        <w:rFonts w:ascii="Arial" w:hAnsi="Arial" w:hint="default"/>
      </w:rPr>
    </w:lvl>
    <w:lvl w:ilvl="7" w:tplc="4B7095D4" w:tentative="1">
      <w:start w:val="1"/>
      <w:numFmt w:val="bullet"/>
      <w:lvlText w:val="•"/>
      <w:lvlJc w:val="left"/>
      <w:pPr>
        <w:tabs>
          <w:tab w:val="num" w:pos="5760"/>
        </w:tabs>
        <w:ind w:left="5760" w:hanging="360"/>
      </w:pPr>
      <w:rPr>
        <w:rFonts w:ascii="Arial" w:hAnsi="Arial" w:hint="default"/>
      </w:rPr>
    </w:lvl>
    <w:lvl w:ilvl="8" w:tplc="5E926D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976A70"/>
    <w:multiLevelType w:val="hybridMultilevel"/>
    <w:tmpl w:val="302C56DE"/>
    <w:lvl w:ilvl="0" w:tplc="F82A1280">
      <w:start w:val="1"/>
      <w:numFmt w:val="bullet"/>
      <w:lvlText w:val="•"/>
      <w:lvlJc w:val="left"/>
      <w:pPr>
        <w:tabs>
          <w:tab w:val="num" w:pos="720"/>
        </w:tabs>
        <w:ind w:left="720" w:hanging="360"/>
      </w:pPr>
      <w:rPr>
        <w:rFonts w:ascii="Arial" w:hAnsi="Arial" w:hint="default"/>
      </w:rPr>
    </w:lvl>
    <w:lvl w:ilvl="1" w:tplc="307A2F76" w:tentative="1">
      <w:start w:val="1"/>
      <w:numFmt w:val="bullet"/>
      <w:lvlText w:val="•"/>
      <w:lvlJc w:val="left"/>
      <w:pPr>
        <w:tabs>
          <w:tab w:val="num" w:pos="1440"/>
        </w:tabs>
        <w:ind w:left="1440" w:hanging="360"/>
      </w:pPr>
      <w:rPr>
        <w:rFonts w:ascii="Arial" w:hAnsi="Arial" w:hint="default"/>
      </w:rPr>
    </w:lvl>
    <w:lvl w:ilvl="2" w:tplc="4912BA88">
      <w:start w:val="1"/>
      <w:numFmt w:val="bullet"/>
      <w:lvlText w:val="•"/>
      <w:lvlJc w:val="left"/>
      <w:pPr>
        <w:tabs>
          <w:tab w:val="num" w:pos="2160"/>
        </w:tabs>
        <w:ind w:left="2160" w:hanging="360"/>
      </w:pPr>
      <w:rPr>
        <w:rFonts w:ascii="Arial" w:hAnsi="Arial" w:hint="default"/>
      </w:rPr>
    </w:lvl>
    <w:lvl w:ilvl="3" w:tplc="A2623486" w:tentative="1">
      <w:start w:val="1"/>
      <w:numFmt w:val="bullet"/>
      <w:lvlText w:val="•"/>
      <w:lvlJc w:val="left"/>
      <w:pPr>
        <w:tabs>
          <w:tab w:val="num" w:pos="2880"/>
        </w:tabs>
        <w:ind w:left="2880" w:hanging="360"/>
      </w:pPr>
      <w:rPr>
        <w:rFonts w:ascii="Arial" w:hAnsi="Arial" w:hint="default"/>
      </w:rPr>
    </w:lvl>
    <w:lvl w:ilvl="4" w:tplc="4C583CBE" w:tentative="1">
      <w:start w:val="1"/>
      <w:numFmt w:val="bullet"/>
      <w:lvlText w:val="•"/>
      <w:lvlJc w:val="left"/>
      <w:pPr>
        <w:tabs>
          <w:tab w:val="num" w:pos="3600"/>
        </w:tabs>
        <w:ind w:left="3600" w:hanging="360"/>
      </w:pPr>
      <w:rPr>
        <w:rFonts w:ascii="Arial" w:hAnsi="Arial" w:hint="default"/>
      </w:rPr>
    </w:lvl>
    <w:lvl w:ilvl="5" w:tplc="BE60FEE0" w:tentative="1">
      <w:start w:val="1"/>
      <w:numFmt w:val="bullet"/>
      <w:lvlText w:val="•"/>
      <w:lvlJc w:val="left"/>
      <w:pPr>
        <w:tabs>
          <w:tab w:val="num" w:pos="4320"/>
        </w:tabs>
        <w:ind w:left="4320" w:hanging="360"/>
      </w:pPr>
      <w:rPr>
        <w:rFonts w:ascii="Arial" w:hAnsi="Arial" w:hint="default"/>
      </w:rPr>
    </w:lvl>
    <w:lvl w:ilvl="6" w:tplc="8748770E" w:tentative="1">
      <w:start w:val="1"/>
      <w:numFmt w:val="bullet"/>
      <w:lvlText w:val="•"/>
      <w:lvlJc w:val="left"/>
      <w:pPr>
        <w:tabs>
          <w:tab w:val="num" w:pos="5040"/>
        </w:tabs>
        <w:ind w:left="5040" w:hanging="360"/>
      </w:pPr>
      <w:rPr>
        <w:rFonts w:ascii="Arial" w:hAnsi="Arial" w:hint="default"/>
      </w:rPr>
    </w:lvl>
    <w:lvl w:ilvl="7" w:tplc="F90CF118" w:tentative="1">
      <w:start w:val="1"/>
      <w:numFmt w:val="bullet"/>
      <w:lvlText w:val="•"/>
      <w:lvlJc w:val="left"/>
      <w:pPr>
        <w:tabs>
          <w:tab w:val="num" w:pos="5760"/>
        </w:tabs>
        <w:ind w:left="5760" w:hanging="360"/>
      </w:pPr>
      <w:rPr>
        <w:rFonts w:ascii="Arial" w:hAnsi="Arial" w:hint="default"/>
      </w:rPr>
    </w:lvl>
    <w:lvl w:ilvl="8" w:tplc="C588AB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FB61B9"/>
    <w:multiLevelType w:val="hybridMultilevel"/>
    <w:tmpl w:val="67B05A5E"/>
    <w:lvl w:ilvl="0" w:tplc="5F5A8DDE">
      <w:start w:val="1"/>
      <w:numFmt w:val="bullet"/>
      <w:lvlText w:val="•"/>
      <w:lvlJc w:val="left"/>
      <w:pPr>
        <w:tabs>
          <w:tab w:val="num" w:pos="720"/>
        </w:tabs>
        <w:ind w:left="720" w:hanging="360"/>
      </w:pPr>
      <w:rPr>
        <w:rFonts w:ascii="Arial" w:hAnsi="Arial" w:hint="default"/>
      </w:rPr>
    </w:lvl>
    <w:lvl w:ilvl="1" w:tplc="E29CF6D8" w:tentative="1">
      <w:start w:val="1"/>
      <w:numFmt w:val="bullet"/>
      <w:lvlText w:val="•"/>
      <w:lvlJc w:val="left"/>
      <w:pPr>
        <w:tabs>
          <w:tab w:val="num" w:pos="1440"/>
        </w:tabs>
        <w:ind w:left="1440" w:hanging="360"/>
      </w:pPr>
      <w:rPr>
        <w:rFonts w:ascii="Arial" w:hAnsi="Arial" w:hint="default"/>
      </w:rPr>
    </w:lvl>
    <w:lvl w:ilvl="2" w:tplc="70828DAC">
      <w:start w:val="1"/>
      <w:numFmt w:val="bullet"/>
      <w:lvlText w:val="•"/>
      <w:lvlJc w:val="left"/>
      <w:pPr>
        <w:tabs>
          <w:tab w:val="num" w:pos="2160"/>
        </w:tabs>
        <w:ind w:left="2160" w:hanging="360"/>
      </w:pPr>
      <w:rPr>
        <w:rFonts w:ascii="Arial" w:hAnsi="Arial" w:hint="default"/>
      </w:rPr>
    </w:lvl>
    <w:lvl w:ilvl="3" w:tplc="9AEE1284" w:tentative="1">
      <w:start w:val="1"/>
      <w:numFmt w:val="bullet"/>
      <w:lvlText w:val="•"/>
      <w:lvlJc w:val="left"/>
      <w:pPr>
        <w:tabs>
          <w:tab w:val="num" w:pos="2880"/>
        </w:tabs>
        <w:ind w:left="2880" w:hanging="360"/>
      </w:pPr>
      <w:rPr>
        <w:rFonts w:ascii="Arial" w:hAnsi="Arial" w:hint="default"/>
      </w:rPr>
    </w:lvl>
    <w:lvl w:ilvl="4" w:tplc="A9A6BD56" w:tentative="1">
      <w:start w:val="1"/>
      <w:numFmt w:val="bullet"/>
      <w:lvlText w:val="•"/>
      <w:lvlJc w:val="left"/>
      <w:pPr>
        <w:tabs>
          <w:tab w:val="num" w:pos="3600"/>
        </w:tabs>
        <w:ind w:left="3600" w:hanging="360"/>
      </w:pPr>
      <w:rPr>
        <w:rFonts w:ascii="Arial" w:hAnsi="Arial" w:hint="default"/>
      </w:rPr>
    </w:lvl>
    <w:lvl w:ilvl="5" w:tplc="0D2007E8" w:tentative="1">
      <w:start w:val="1"/>
      <w:numFmt w:val="bullet"/>
      <w:lvlText w:val="•"/>
      <w:lvlJc w:val="left"/>
      <w:pPr>
        <w:tabs>
          <w:tab w:val="num" w:pos="4320"/>
        </w:tabs>
        <w:ind w:left="4320" w:hanging="360"/>
      </w:pPr>
      <w:rPr>
        <w:rFonts w:ascii="Arial" w:hAnsi="Arial" w:hint="default"/>
      </w:rPr>
    </w:lvl>
    <w:lvl w:ilvl="6" w:tplc="D3F8661C" w:tentative="1">
      <w:start w:val="1"/>
      <w:numFmt w:val="bullet"/>
      <w:lvlText w:val="•"/>
      <w:lvlJc w:val="left"/>
      <w:pPr>
        <w:tabs>
          <w:tab w:val="num" w:pos="5040"/>
        </w:tabs>
        <w:ind w:left="5040" w:hanging="360"/>
      </w:pPr>
      <w:rPr>
        <w:rFonts w:ascii="Arial" w:hAnsi="Arial" w:hint="default"/>
      </w:rPr>
    </w:lvl>
    <w:lvl w:ilvl="7" w:tplc="B4DAABF0" w:tentative="1">
      <w:start w:val="1"/>
      <w:numFmt w:val="bullet"/>
      <w:lvlText w:val="•"/>
      <w:lvlJc w:val="left"/>
      <w:pPr>
        <w:tabs>
          <w:tab w:val="num" w:pos="5760"/>
        </w:tabs>
        <w:ind w:left="5760" w:hanging="360"/>
      </w:pPr>
      <w:rPr>
        <w:rFonts w:ascii="Arial" w:hAnsi="Arial" w:hint="default"/>
      </w:rPr>
    </w:lvl>
    <w:lvl w:ilvl="8" w:tplc="95A8C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3"/>
  </w:num>
  <w:num w:numId="13">
    <w:abstractNumId w:val="7"/>
  </w:num>
  <w:num w:numId="14">
    <w:abstractNumId w:val="4"/>
  </w:num>
  <w:num w:numId="15">
    <w:abstractNumId w:val="1"/>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57AD6"/>
    <w:rsid w:val="00063518"/>
    <w:rsid w:val="00077458"/>
    <w:rsid w:val="0008068B"/>
    <w:rsid w:val="000A400E"/>
    <w:rsid w:val="000A7CFE"/>
    <w:rsid w:val="000B5E3B"/>
    <w:rsid w:val="000C6249"/>
    <w:rsid w:val="0012521B"/>
    <w:rsid w:val="00170C35"/>
    <w:rsid w:val="001B0D58"/>
    <w:rsid w:val="00260A5B"/>
    <w:rsid w:val="00284AAB"/>
    <w:rsid w:val="00290890"/>
    <w:rsid w:val="002E7E26"/>
    <w:rsid w:val="003201D5"/>
    <w:rsid w:val="003457AD"/>
    <w:rsid w:val="0036188A"/>
    <w:rsid w:val="00366C78"/>
    <w:rsid w:val="00374315"/>
    <w:rsid w:val="003A06CB"/>
    <w:rsid w:val="003A11C1"/>
    <w:rsid w:val="003A4AFB"/>
    <w:rsid w:val="003B459E"/>
    <w:rsid w:val="003C37CF"/>
    <w:rsid w:val="003D04DF"/>
    <w:rsid w:val="00403DF2"/>
    <w:rsid w:val="00422BDB"/>
    <w:rsid w:val="00432D16"/>
    <w:rsid w:val="0044118B"/>
    <w:rsid w:val="00486FD2"/>
    <w:rsid w:val="004924D1"/>
    <w:rsid w:val="004B34F7"/>
    <w:rsid w:val="004E6A2A"/>
    <w:rsid w:val="004F2024"/>
    <w:rsid w:val="00542E50"/>
    <w:rsid w:val="005520BD"/>
    <w:rsid w:val="0057302B"/>
    <w:rsid w:val="00580173"/>
    <w:rsid w:val="005D2E5A"/>
    <w:rsid w:val="005E74BD"/>
    <w:rsid w:val="005F31F1"/>
    <w:rsid w:val="006568C0"/>
    <w:rsid w:val="00673C1D"/>
    <w:rsid w:val="00692137"/>
    <w:rsid w:val="006A4A1A"/>
    <w:rsid w:val="006C4B0B"/>
    <w:rsid w:val="006F472F"/>
    <w:rsid w:val="00703089"/>
    <w:rsid w:val="00733F5F"/>
    <w:rsid w:val="007377BF"/>
    <w:rsid w:val="00746BD7"/>
    <w:rsid w:val="00750D68"/>
    <w:rsid w:val="0078482A"/>
    <w:rsid w:val="007928E6"/>
    <w:rsid w:val="00797E00"/>
    <w:rsid w:val="007B63CB"/>
    <w:rsid w:val="007C0DF6"/>
    <w:rsid w:val="007E7820"/>
    <w:rsid w:val="00815012"/>
    <w:rsid w:val="00883B2E"/>
    <w:rsid w:val="0089294C"/>
    <w:rsid w:val="008A2940"/>
    <w:rsid w:val="008A5117"/>
    <w:rsid w:val="008C2086"/>
    <w:rsid w:val="008D4FE9"/>
    <w:rsid w:val="008F3395"/>
    <w:rsid w:val="008F7935"/>
    <w:rsid w:val="00943B69"/>
    <w:rsid w:val="00945C8B"/>
    <w:rsid w:val="00951BBA"/>
    <w:rsid w:val="00954552"/>
    <w:rsid w:val="00990DDB"/>
    <w:rsid w:val="00994E5F"/>
    <w:rsid w:val="009B2E5E"/>
    <w:rsid w:val="009C78EE"/>
    <w:rsid w:val="009D1A20"/>
    <w:rsid w:val="009D1C09"/>
    <w:rsid w:val="009D66DD"/>
    <w:rsid w:val="009F2370"/>
    <w:rsid w:val="00A02659"/>
    <w:rsid w:val="00A1241F"/>
    <w:rsid w:val="00A24B7F"/>
    <w:rsid w:val="00A25C82"/>
    <w:rsid w:val="00A32E2A"/>
    <w:rsid w:val="00A40B5A"/>
    <w:rsid w:val="00A41ED4"/>
    <w:rsid w:val="00A42D45"/>
    <w:rsid w:val="00A5127D"/>
    <w:rsid w:val="00A7223A"/>
    <w:rsid w:val="00AA1979"/>
    <w:rsid w:val="00AA69AD"/>
    <w:rsid w:val="00AC1315"/>
    <w:rsid w:val="00B009D8"/>
    <w:rsid w:val="00B21EF3"/>
    <w:rsid w:val="00B22091"/>
    <w:rsid w:val="00BD18A1"/>
    <w:rsid w:val="00BF4F31"/>
    <w:rsid w:val="00BF71E1"/>
    <w:rsid w:val="00C2177A"/>
    <w:rsid w:val="00C45A63"/>
    <w:rsid w:val="00C56E72"/>
    <w:rsid w:val="00C754F3"/>
    <w:rsid w:val="00C756A6"/>
    <w:rsid w:val="00CA14C2"/>
    <w:rsid w:val="00CB062C"/>
    <w:rsid w:val="00CC3955"/>
    <w:rsid w:val="00CD6567"/>
    <w:rsid w:val="00CE0CF3"/>
    <w:rsid w:val="00CF3ABF"/>
    <w:rsid w:val="00D06A85"/>
    <w:rsid w:val="00D3417F"/>
    <w:rsid w:val="00D44CC4"/>
    <w:rsid w:val="00DB22A3"/>
    <w:rsid w:val="00DC1F94"/>
    <w:rsid w:val="00DC7E8E"/>
    <w:rsid w:val="00DF587A"/>
    <w:rsid w:val="00E152BF"/>
    <w:rsid w:val="00E15948"/>
    <w:rsid w:val="00E16545"/>
    <w:rsid w:val="00E60356"/>
    <w:rsid w:val="00E75F69"/>
    <w:rsid w:val="00EE6D67"/>
    <w:rsid w:val="00F02B06"/>
    <w:rsid w:val="00F1679E"/>
    <w:rsid w:val="00F255F1"/>
    <w:rsid w:val="00F2735D"/>
    <w:rsid w:val="00F3272A"/>
    <w:rsid w:val="00F37147"/>
    <w:rsid w:val="00F44F7C"/>
    <w:rsid w:val="00F45595"/>
    <w:rsid w:val="00F677D2"/>
    <w:rsid w:val="00F82A53"/>
    <w:rsid w:val="00F9122F"/>
    <w:rsid w:val="00FA20D2"/>
    <w:rsid w:val="00FB434D"/>
    <w:rsid w:val="00FC58D7"/>
    <w:rsid w:val="00FD05E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0498187">
      <w:bodyDiv w:val="1"/>
      <w:marLeft w:val="0"/>
      <w:marRight w:val="0"/>
      <w:marTop w:val="0"/>
      <w:marBottom w:val="0"/>
      <w:divBdr>
        <w:top w:val="none" w:sz="0" w:space="0" w:color="auto"/>
        <w:left w:val="none" w:sz="0" w:space="0" w:color="auto"/>
        <w:bottom w:val="none" w:sz="0" w:space="0" w:color="auto"/>
        <w:right w:val="none" w:sz="0" w:space="0" w:color="auto"/>
      </w:divBdr>
      <w:divsChild>
        <w:div w:id="1632857081">
          <w:marLeft w:val="1714"/>
          <w:marRight w:val="0"/>
          <w:marTop w:val="106"/>
          <w:marBottom w:val="0"/>
          <w:divBdr>
            <w:top w:val="none" w:sz="0" w:space="0" w:color="auto"/>
            <w:left w:val="none" w:sz="0" w:space="0" w:color="auto"/>
            <w:bottom w:val="none" w:sz="0" w:space="0" w:color="auto"/>
            <w:right w:val="none" w:sz="0" w:space="0" w:color="auto"/>
          </w:divBdr>
        </w:div>
        <w:div w:id="338233929">
          <w:marLeft w:val="1714"/>
          <w:marRight w:val="0"/>
          <w:marTop w:val="106"/>
          <w:marBottom w:val="0"/>
          <w:divBdr>
            <w:top w:val="none" w:sz="0" w:space="0" w:color="auto"/>
            <w:left w:val="none" w:sz="0" w:space="0" w:color="auto"/>
            <w:bottom w:val="none" w:sz="0" w:space="0" w:color="auto"/>
            <w:right w:val="none" w:sz="0" w:space="0" w:color="auto"/>
          </w:divBdr>
        </w:div>
      </w:divsChild>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722094657">
      <w:bodyDiv w:val="1"/>
      <w:marLeft w:val="0"/>
      <w:marRight w:val="0"/>
      <w:marTop w:val="0"/>
      <w:marBottom w:val="0"/>
      <w:divBdr>
        <w:top w:val="none" w:sz="0" w:space="0" w:color="auto"/>
        <w:left w:val="none" w:sz="0" w:space="0" w:color="auto"/>
        <w:bottom w:val="none" w:sz="0" w:space="0" w:color="auto"/>
        <w:right w:val="none" w:sz="0" w:space="0" w:color="auto"/>
      </w:divBdr>
      <w:divsChild>
        <w:div w:id="40446032">
          <w:marLeft w:val="547"/>
          <w:marRight w:val="0"/>
          <w:marTop w:val="96"/>
          <w:marBottom w:val="0"/>
          <w:divBdr>
            <w:top w:val="none" w:sz="0" w:space="0" w:color="auto"/>
            <w:left w:val="none" w:sz="0" w:space="0" w:color="auto"/>
            <w:bottom w:val="none" w:sz="0" w:space="0" w:color="auto"/>
            <w:right w:val="none" w:sz="0" w:space="0" w:color="auto"/>
          </w:divBdr>
        </w:div>
        <w:div w:id="1823960056">
          <w:marLeft w:val="547"/>
          <w:marRight w:val="0"/>
          <w:marTop w:val="96"/>
          <w:marBottom w:val="0"/>
          <w:divBdr>
            <w:top w:val="none" w:sz="0" w:space="0" w:color="auto"/>
            <w:left w:val="none" w:sz="0" w:space="0" w:color="auto"/>
            <w:bottom w:val="none" w:sz="0" w:space="0" w:color="auto"/>
            <w:right w:val="none" w:sz="0" w:space="0" w:color="auto"/>
          </w:divBdr>
        </w:div>
        <w:div w:id="1188763113">
          <w:marLeft w:val="1166"/>
          <w:marRight w:val="0"/>
          <w:marTop w:val="77"/>
          <w:marBottom w:val="0"/>
          <w:divBdr>
            <w:top w:val="none" w:sz="0" w:space="0" w:color="auto"/>
            <w:left w:val="none" w:sz="0" w:space="0" w:color="auto"/>
            <w:bottom w:val="none" w:sz="0" w:space="0" w:color="auto"/>
            <w:right w:val="none" w:sz="0" w:space="0" w:color="auto"/>
          </w:divBdr>
        </w:div>
        <w:div w:id="895122669">
          <w:marLeft w:val="1166"/>
          <w:marRight w:val="0"/>
          <w:marTop w:val="77"/>
          <w:marBottom w:val="0"/>
          <w:divBdr>
            <w:top w:val="none" w:sz="0" w:space="0" w:color="auto"/>
            <w:left w:val="none" w:sz="0" w:space="0" w:color="auto"/>
            <w:bottom w:val="none" w:sz="0" w:space="0" w:color="auto"/>
            <w:right w:val="none" w:sz="0" w:space="0" w:color="auto"/>
          </w:divBdr>
        </w:div>
        <w:div w:id="1292812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3ABEE-B683-4209-BA58-F8FE29F0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15</cp:revision>
  <dcterms:created xsi:type="dcterms:W3CDTF">2019-02-14T00:15:00Z</dcterms:created>
  <dcterms:modified xsi:type="dcterms:W3CDTF">2019-04-01T20:26:00Z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